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71" w:rsidRPr="00C3391F" w:rsidRDefault="00492DE4" w:rsidP="00041D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bookmarkStart w:id="0" w:name="_GoBack"/>
      <w:bookmarkEnd w:id="0"/>
      <w:r w:rsidRPr="00C3391F">
        <w:rPr>
          <w:rFonts w:asciiTheme="majorHAnsi" w:hAnsiTheme="majorHAnsi"/>
          <w:b/>
          <w:color w:val="000000"/>
          <w:sz w:val="24"/>
          <w:szCs w:val="24"/>
        </w:rPr>
        <w:t>PROMER</w:t>
      </w:r>
    </w:p>
    <w:p w:rsidR="00C61F71" w:rsidRPr="00C3391F" w:rsidRDefault="00492DE4" w:rsidP="00041D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C3391F">
        <w:rPr>
          <w:rFonts w:asciiTheme="majorHAnsi" w:hAnsiTheme="majorHAnsi"/>
          <w:b/>
          <w:color w:val="000000"/>
          <w:sz w:val="24"/>
          <w:szCs w:val="24"/>
        </w:rPr>
        <w:t>ATENEOS DIDÁCTICOS - EDUCACIÓN OBLIGATORIA</w:t>
      </w:r>
    </w:p>
    <w:p w:rsidR="00C61F71" w:rsidRPr="00C3391F" w:rsidRDefault="00492DE4" w:rsidP="00041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  <w:lang w:val="es-419"/>
        </w:rPr>
      </w:pPr>
      <w:r w:rsidRPr="00C3391F"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</w:rPr>
        <w:t>Desarrollo de capacidades fundamentales en Plurigrado</w:t>
      </w:r>
      <w:r w:rsidR="00041D77" w:rsidRPr="00C3391F"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  <w:lang w:val="es-419"/>
        </w:rPr>
        <w:t>/Pluricurso</w:t>
      </w:r>
    </w:p>
    <w:p w:rsidR="00C61F71" w:rsidRPr="00C3391F" w:rsidRDefault="00492DE4" w:rsidP="00041D77">
      <w:pPr>
        <w:spacing w:after="0" w:line="240" w:lineRule="auto"/>
        <w:jc w:val="center"/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</w:rPr>
      </w:pPr>
      <w:r w:rsidRPr="00C3391F"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</w:rPr>
        <w:t>Educación Primaria - Educación Secundaria</w:t>
      </w:r>
    </w:p>
    <w:p w:rsidR="00C61F71" w:rsidRPr="00C3391F" w:rsidRDefault="00492DE4" w:rsidP="00041D77">
      <w:pPr>
        <w:spacing w:after="0" w:line="240" w:lineRule="auto"/>
        <w:jc w:val="center"/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</w:rPr>
      </w:pPr>
      <w:r w:rsidRPr="00C3391F">
        <w:rPr>
          <w:rFonts w:asciiTheme="majorHAnsi" w:eastAsia="Arial Narrow" w:hAnsiTheme="majorHAnsi" w:cs="Arial Narrow"/>
          <w:b/>
          <w:i/>
          <w:color w:val="548DD4" w:themeColor="text2" w:themeTint="99"/>
          <w:sz w:val="28"/>
          <w:szCs w:val="28"/>
        </w:rPr>
        <w:t>Modalidad Rural</w:t>
      </w:r>
    </w:p>
    <w:p w:rsidR="00C61F71" w:rsidRDefault="00492DE4" w:rsidP="00041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Narrow" w:hAnsiTheme="majorHAnsi" w:cs="Arial Narrow"/>
          <w:b/>
          <w:i/>
          <w:color w:val="31849B" w:themeColor="accent5" w:themeShade="BF"/>
          <w:sz w:val="32"/>
          <w:szCs w:val="32"/>
        </w:rPr>
      </w:pPr>
      <w:r w:rsidRPr="00C3391F">
        <w:rPr>
          <w:rFonts w:asciiTheme="majorHAnsi" w:eastAsia="Arial Narrow" w:hAnsiTheme="majorHAnsi" w:cs="Arial Narrow"/>
          <w:b/>
          <w:i/>
          <w:color w:val="548DD4" w:themeColor="text2" w:themeTint="99"/>
          <w:sz w:val="32"/>
          <w:szCs w:val="32"/>
        </w:rPr>
        <w:t>CIENCIAS SOCIALES</w:t>
      </w:r>
    </w:p>
    <w:p w:rsidR="00C3391F" w:rsidRPr="00C3391F" w:rsidRDefault="00C3391F" w:rsidP="00041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Narrow" w:hAnsiTheme="majorHAnsi" w:cs="Arial Narrow"/>
          <w:b/>
          <w:i/>
          <w:color w:val="257144"/>
          <w:sz w:val="32"/>
          <w:szCs w:val="32"/>
        </w:rPr>
      </w:pPr>
    </w:p>
    <w:p w:rsidR="00C61F71" w:rsidRDefault="00492DE4" w:rsidP="00041D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C3391F">
        <w:rPr>
          <w:rFonts w:asciiTheme="majorHAnsi" w:hAnsiTheme="majorHAnsi"/>
          <w:b/>
          <w:color w:val="000000"/>
          <w:sz w:val="24"/>
          <w:szCs w:val="24"/>
        </w:rPr>
        <w:t>BITÁCORA PARA TRANSITAR LOS ATENEOS DIDÁCTICOS</w:t>
      </w:r>
    </w:p>
    <w:p w:rsidR="00C3391F" w:rsidRPr="00C3391F" w:rsidRDefault="00C3391F" w:rsidP="00041D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/>
          <w:color w:val="000000"/>
        </w:rPr>
      </w:pPr>
    </w:p>
    <w:tbl>
      <w:tblPr>
        <w:tblStyle w:val="a"/>
        <w:tblW w:w="9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8"/>
      </w:tblGrid>
      <w:tr w:rsidR="00C61F71" w:rsidRPr="00C3391F" w:rsidTr="00A53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INFORMACIÓN IMPORTANTE PARA LA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ACREDITACIÓN DE ESTA INSTANCIA DE FORMACIÓN DOCENTE CONTINUA</w:t>
            </w:r>
          </w:p>
          <w:p w:rsidR="00C3391F" w:rsidRPr="00C3391F" w:rsidRDefault="00C3391F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La acreditación de la capacitación consiste en la presentación digital (vía correo electrónico) de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u w:val="single"/>
              </w:rPr>
              <w:t>dos producciones obligatorias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 A continuación, se detallan aspectos formales para el envío.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PRIMERA PRODUCCIÓN: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Los docentes deberán completar la primera parte de la Bitácora en el formulario remitido –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ANTES DEL ATENEO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– y enviarla por correo electrónico como archivo adjunto, cinco (5) días hábiles antes del encuentro, a la siguiente dirección electrónica:</w:t>
            </w:r>
            <w:hyperlink r:id="rId7">
              <w:r w:rsidRPr="00C3391F">
                <w:rPr>
                  <w:rFonts w:asciiTheme="majorHAnsi" w:eastAsia="Times New Roman" w:hAnsiTheme="majorHAnsi" w:cs="Times New Roman"/>
                  <w:color w:val="0000FF"/>
                  <w:sz w:val="20"/>
                  <w:szCs w:val="20"/>
                  <w:u w:val="single"/>
                </w:rPr>
                <w:t>ader.sociales@gmail.com</w:t>
              </w:r>
            </w:hyperlink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 el asunto del email deberá constar el</w:t>
            </w:r>
            <w:r w:rsidRPr="00A53B79">
              <w:rPr>
                <w:rFonts w:asciiTheme="majorHAnsi" w:eastAsia="Times New Roman" w:hAnsiTheme="majorHAnsi" w:cs="Times New Roman"/>
                <w:b/>
                <w:color w:val="92D050"/>
                <w:sz w:val="20"/>
                <w:szCs w:val="20"/>
              </w:rPr>
              <w:t xml:space="preserve"> </w:t>
            </w:r>
            <w:r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</w:rPr>
              <w:t>apellido del docente, Educación Primaria</w:t>
            </w:r>
            <w:r w:rsidR="00177FF1"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  <w:lang w:val="es-419"/>
              </w:rPr>
              <w:t>/Secundaria</w:t>
            </w:r>
            <w:r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</w:rPr>
              <w:t xml:space="preserve">, Localidad del encuentro. 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Por ejemplo: González Educación Primaria Villa Dolores. </w:t>
            </w:r>
          </w:p>
          <w:p w:rsidR="00C61F71" w:rsidRPr="00C3391F" w:rsidRDefault="00C61F71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  <w:p w:rsidR="00C61F71" w:rsidRPr="00A53B79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98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A53B7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RECORDAMOS: La lectura de la bibliografía indicada junto con la realización de las tareas previas, son acciones fundamentales para el desarrollo del encuentro presencial.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SEGUNDA PRODUCCIÓN: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Cada docente asistente al encuentro deberá enviar, de manera individual (los documentos que presenten similitud no serán aceptados), por correo electrónico a la misma dirección, en un plazo de 40 días corridos,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un archivo con la bitácora completa por cada espacio curricular, con las respuestas dentro de este mismo documento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 (La fecha de entrega se indicará en el encuentro presencial)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En el asunto del email deberá constar el apellido del docente, Educación Primaria, Localidad del encuentro. 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Por ejemplo: González Educación </w:t>
            </w:r>
            <w:r w:rsidR="00177FF1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Secundaria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Villa Dolores.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 el caso de no resultar aprobado el trabajo se deberá realizar la instancia de recuperatorio 5 días hábiles luego de recibir la devolución.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Características formales de la presentación de la bitácora: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El escrito debe ser claro y coherente; sin faltas de ortografía ni de puntuación.</w:t>
            </w:r>
          </w:p>
          <w:p w:rsidR="00C61F71" w:rsidRPr="00C3391F" w:rsidRDefault="00492DE4" w:rsidP="00C33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Respetar la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normativa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vigente para el uso de mayúsculas y minúsculas en la escritura; no se recibirán trabajos escritos en mayúscula sostenida.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Las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respuestas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deberán escribirse en letra Arial o Times New Roman, tamaño de fuente 11 como mínimo, con interlineado de 1,5.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El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formato del archivo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deberá ser Word compatible 97_2003. No se receptarán producciones en otro formato (pdf, jpg, etc.).</w:t>
            </w:r>
          </w:p>
          <w:p w:rsidR="00C61F71" w:rsidRPr="00C3391F" w:rsidRDefault="00492DE4" w:rsidP="00C3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right="19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 xml:space="preserve">El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nombre del archivo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deberá estar conformado por: </w:t>
            </w:r>
            <w:r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</w:rPr>
              <w:t>apellido del docente, Educación Primaria</w:t>
            </w:r>
            <w:r w:rsidR="00177FF1"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  <w:lang w:val="es-419"/>
              </w:rPr>
              <w:t>/</w:t>
            </w:r>
            <w:r w:rsidR="00C3391F"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  <w:lang w:val="es-419"/>
              </w:rPr>
              <w:t>Secundaria</w:t>
            </w:r>
            <w:r w:rsidRPr="00A53B79">
              <w:rPr>
                <w:rFonts w:asciiTheme="majorHAnsi" w:eastAsia="Times New Roman" w:hAnsiTheme="majorHAnsi" w:cs="Times New Roman"/>
                <w:b/>
                <w:color w:val="339966"/>
                <w:sz w:val="20"/>
                <w:szCs w:val="20"/>
              </w:rPr>
              <w:t xml:space="preserve"> y Sede del encuentro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Por ejemplo: González Educación Primaria Villa Dolores. </w:t>
            </w:r>
          </w:p>
        </w:tc>
      </w:tr>
    </w:tbl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a0"/>
        <w:tblW w:w="92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68"/>
      </w:tblGrid>
      <w:tr w:rsidR="00C61F71" w:rsidRPr="00C3391F" w:rsidTr="00A53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Nombre de la escuela: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Anexo: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Localidad: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CUE: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CUA: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Escuelas que constituyen el agrupamiento: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Zona de supervisión: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Apellido y nombre del docente participante: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DNI: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Espacio Curricular:</w:t>
            </w:r>
          </w:p>
          <w:p w:rsidR="00C61F71" w:rsidRPr="00C3391F" w:rsidRDefault="00492DE4" w:rsidP="00A5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Descripción del plurigrado</w:t>
            </w:r>
            <w:r w:rsidR="00041D77"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  <w:lang w:val="es-419"/>
              </w:rPr>
              <w:t>/pluricurso</w:t>
            </w: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 xml:space="preserve"> a su cargo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:</w:t>
            </w:r>
          </w:p>
          <w:p w:rsidR="00041D77" w:rsidRPr="00C3391F" w:rsidRDefault="00492DE4" w:rsidP="00A5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</w:pP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Es importante que pueda describir y explicar, observando a los estudiantes de su aula, dar cuenta de los procesos y logros de aprendizaje en relación a la capacidad de </w:t>
            </w: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Abordaje y resolución de situaciones</w:t>
            </w:r>
            <w:r w:rsidR="00041D77"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  <w:lang w:val="es-419"/>
              </w:rPr>
              <w:t xml:space="preserve"> </w:t>
            </w:r>
            <w:r w:rsidRPr="00C3391F"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  <w:t>problemáticas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.</w:t>
            </w:r>
          </w:p>
          <w:p w:rsidR="00A95F9B" w:rsidRPr="00C3391F" w:rsidRDefault="00492DE4" w:rsidP="00A5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</w:pP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¿Cómo aprenden? ¿</w:t>
            </w:r>
            <w:r w:rsidR="00041D77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Qué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dificultades muestran? ¿</w:t>
            </w:r>
            <w:r w:rsidR="00041D77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Qué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campos de conocimiento prefieren? ¿</w:t>
            </w:r>
            <w:r w:rsidR="00041D77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Qué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leen? ¿</w:t>
            </w:r>
            <w:r w:rsidR="00041D77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Cómo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escriben? ¿</w:t>
            </w:r>
            <w:r w:rsidR="00041D77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A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qué juegan?</w:t>
            </w:r>
            <w:r w:rsidR="00A95F9B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 ¿Cómo hacen en los subgrupos para comprender las situaciones problemáticas? ¿Qué dinámicas proponen entre </w:t>
            </w:r>
            <w:r w:rsidR="00C3391F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ellos? ¿</w:t>
            </w:r>
            <w:r w:rsidR="00A95F9B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Cómo hacen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 para tratar la información que se les alcanza?</w:t>
            </w:r>
            <w:r w:rsidR="00F15009" w:rsidRPr="00C3391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</w:rPr>
              <w:t>¿Cómo responden a los desafíos que se les plantean?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¿Cuáles son los </w:t>
            </w:r>
            <w:r w:rsidR="00C3391F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procedimientos más típicos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 para </w:t>
            </w:r>
            <w:r w:rsidR="00C3391F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resolver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 problemas ante una situación </w:t>
            </w:r>
            <w:r w:rsidR="00C3391F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problemática? ¿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 xml:space="preserve">Quién y cómo organiza las alternativas de resolución? ¿Qué tipo de justificaciones de los procedimientos utilizados expresan los </w:t>
            </w:r>
            <w:r w:rsidR="00C3391F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lang w:val="es-419"/>
              </w:rPr>
              <w:t>estudiantes? ¿</w:t>
            </w:r>
            <w:r w:rsidR="00F15009"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Qué tipo de situaciones problemáticas son las que más los motivan? ¿Cómo hacen para sortear los diferentes obstáculos que se les presentan?</w:t>
            </w:r>
          </w:p>
        </w:tc>
      </w:tr>
    </w:tbl>
    <w:p w:rsidR="00C61F71" w:rsidRDefault="00C61F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</w:p>
    <w:p w:rsidR="00C3391F" w:rsidRPr="00A53B79" w:rsidRDefault="00C33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4"/>
          <w:szCs w:val="24"/>
        </w:rPr>
      </w:pPr>
    </w:p>
    <w:p w:rsidR="00C61F71" w:rsidRPr="00A53B79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4"/>
          <w:szCs w:val="24"/>
        </w:rPr>
      </w:pPr>
      <w:r w:rsidRPr="00A53B79">
        <w:rPr>
          <w:rFonts w:asciiTheme="majorHAnsi" w:eastAsia="Times New Roman" w:hAnsiTheme="majorHAnsi" w:cs="Times New Roman"/>
          <w:b/>
          <w:color w:val="257144"/>
          <w:sz w:val="24"/>
          <w:szCs w:val="24"/>
        </w:rPr>
        <w:t>Presentación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Como ya expresamos anteriormente, en la antigüedad, los navegantes utilizaban el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cuaderno de bitácora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para relatar el desarrollo de sus viajes, dejar constancia de todo lo acontecido y de la forma en la que resolvían los conflictos durante la travesía.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En la actualidad, un cuaderno de bitácora se utiliza para llevar un registro escrito de diferentes acciones. Su organización es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cronológica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, lo que facilita la revisión de los contenidos anotados y de los procesos desarrollados.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En esta oportunidad, la propuesta es elaborar una bitácora como estrategia para observar, registrar, repensar, implementar y luego revisar las prácticas de enseñanza que están implicadas en el desarrollo de las capacidades fundamentales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 xml:space="preserve">Abordaje y resolución de situaciones problemáticas, Pensamiento crítico y creativo, Trabajo en colaboración para aprender a relacionarse e interactuar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y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Oralidad, lectura y escritura con énfasis en comprensión lectora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.  Si se piensa en la enseñanza como un camino a recorrer, esta sería una suerte de diario de viaje.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  <w:vertAlign w:val="superscript"/>
        </w:rPr>
        <w:footnoteReference w:id="1"/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En los ateneos iremos abordando las capacidades fundamentales haciendo énfasis en:</w:t>
      </w:r>
    </w:p>
    <w:p w:rsidR="00C61F71" w:rsidRPr="00C3391F" w:rsidRDefault="00492D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ajorHAnsi" w:hAnsiTheme="majorHAnsi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caso de Matemática: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Trabajo en colaboración para aprender a relacionarse e interactuar;</w:t>
      </w:r>
    </w:p>
    <w:p w:rsidR="00C61F71" w:rsidRPr="00C3391F" w:rsidRDefault="00492D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caso de Ciencias Sociales: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Abordaje y Resolución de situaciones problemáticas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;</w:t>
      </w:r>
    </w:p>
    <w:p w:rsidR="00C61F71" w:rsidRPr="00C3391F" w:rsidRDefault="00492D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caso de Ciencias Naturales: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Pensamiento crítico y creativo</w:t>
      </w:r>
      <w:r w:rsidRPr="00C3391F">
        <w:rPr>
          <w:rFonts w:asciiTheme="majorHAnsi" w:eastAsia="Times New Roman" w:hAnsiTheme="majorHAnsi" w:cs="Times New Roman"/>
          <w:i/>
          <w:color w:val="000000"/>
          <w:sz w:val="20"/>
          <w:szCs w:val="20"/>
        </w:rPr>
        <w:t>;</w:t>
      </w:r>
    </w:p>
    <w:p w:rsidR="00C61F71" w:rsidRPr="00C3391F" w:rsidRDefault="00492D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caso de Lengua y Literatura: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Oralidad, lectura y escritura con énfasis en comprensión lectora.</w:t>
      </w:r>
    </w:p>
    <w:p w:rsidR="00C61F71" w:rsidRPr="00C3391F" w:rsidRDefault="00C61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rFonts w:asciiTheme="majorHAnsi" w:eastAsia="Times New Roman" w:hAnsiTheme="majorHAnsi" w:cs="Times New Roman"/>
          <w:i/>
          <w:color w:val="000000"/>
          <w:sz w:val="20"/>
          <w:szCs w:val="20"/>
        </w:rPr>
      </w:pPr>
    </w:p>
    <w:tbl>
      <w:tblPr>
        <w:tblStyle w:val="a1"/>
        <w:tblW w:w="9450" w:type="dxa"/>
        <w:tblInd w:w="80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12" w:space="0" w:color="76923C"/>
          <w:insideV w:val="single" w:sz="12" w:space="0" w:color="76923C"/>
        </w:tblBorders>
        <w:tblLayout w:type="fixed"/>
        <w:tblLook w:val="0600" w:firstRow="0" w:lastRow="0" w:firstColumn="0" w:lastColumn="0" w:noHBand="1" w:noVBand="1"/>
      </w:tblPr>
      <w:tblGrid>
        <w:gridCol w:w="2997"/>
        <w:gridCol w:w="6453"/>
      </w:tblGrid>
      <w:tr w:rsidR="00C61F71" w:rsidRPr="00C3391F">
        <w:tc>
          <w:tcPr>
            <w:tcW w:w="2997" w:type="dxa"/>
            <w:shd w:val="clear" w:color="auto" w:fill="AFDC7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Momentos de la capacitación</w:t>
            </w:r>
          </w:p>
        </w:tc>
        <w:tc>
          <w:tcPr>
            <w:tcW w:w="6453" w:type="dxa"/>
            <w:shd w:val="clear" w:color="auto" w:fill="AFDC7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 xml:space="preserve">Actividades que deberán constar en la bitácora </w:t>
            </w:r>
          </w:p>
        </w:tc>
      </w:tr>
      <w:tr w:rsidR="00C61F71" w:rsidRPr="00C3391F">
        <w:tc>
          <w:tcPr>
            <w:tcW w:w="2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Antes del ateneo</w:t>
            </w:r>
          </w:p>
        </w:tc>
        <w:tc>
          <w:tcPr>
            <w:tcW w:w="6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 xml:space="preserve">Resolución 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 consignas planteadas en la actividad previa sobre las capacidades fundamentales (</w:t>
            </w: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Abordaje y resolución de situaciones problemáticas, Pensamiento crítico y creativo, Trabajo en colaboración para aprender a relacionarse e interactuar, Oralidad, lectura y escritura con énfasis en comprensión lectora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)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aulas múltiples y circulación de los saberes.</w:t>
            </w:r>
          </w:p>
          <w:p w:rsidR="00C61F71" w:rsidRPr="00C3391F" w:rsidRDefault="0049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 debe enviar la resolución de las actividades cinco días hábiles antes del encuentro presencial.</w:t>
            </w:r>
          </w:p>
        </w:tc>
      </w:tr>
      <w:tr w:rsidR="00C61F71" w:rsidRPr="00C3391F">
        <w:tc>
          <w:tcPr>
            <w:tcW w:w="2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Durante el ateneo</w:t>
            </w:r>
          </w:p>
        </w:tc>
        <w:tc>
          <w:tcPr>
            <w:tcW w:w="6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Registro</w:t>
            </w:r>
            <w:r w:rsidRPr="00C3391F">
              <w:rPr>
                <w:rFonts w:asciiTheme="majorHAnsi" w:eastAsia="Times New Roman" w:hAnsiTheme="majorHAnsi" w:cs="Times New Roman"/>
                <w:color w:val="0070C0"/>
                <w:sz w:val="20"/>
                <w:szCs w:val="20"/>
              </w:rPr>
              <w:t xml:space="preserve"> 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- según se solicita en las consignas específicas-- de lo acontecido en los distintos </w:t>
            </w: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momentos del ateneo didáctico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atendiendo a los aspectos centrales que involucra el análisis de cada  caso planteado.</w:t>
            </w:r>
          </w:p>
        </w:tc>
      </w:tr>
      <w:tr w:rsidR="00C61F71" w:rsidRPr="00C3391F">
        <w:tc>
          <w:tcPr>
            <w:tcW w:w="2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Después del ateneo</w:t>
            </w:r>
          </w:p>
        </w:tc>
        <w:tc>
          <w:tcPr>
            <w:tcW w:w="6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Resolución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de consignas planteadas en la actividad final, consistente en la </w:t>
            </w: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elaboración, implementación y registro de propuestas de enseñanza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para mejorar las propias prácticas profesionales (una propuesta de enseñanza para cada espacio curricular).</w:t>
            </w:r>
          </w:p>
        </w:tc>
      </w:tr>
    </w:tbl>
    <w:p w:rsidR="00C61F71" w:rsidRDefault="00C61F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A53B79" w:rsidRPr="00C3391F" w:rsidRDefault="00A53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A continuación, se detallan las consignas de las actividades que deberán constar en el documento de la bitácora.</w:t>
      </w:r>
    </w:p>
    <w:p w:rsidR="00C61F71" w:rsidRPr="00C3391F" w:rsidRDefault="00492DE4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  <w:between w:val="nil"/>
        </w:pBdr>
        <w:shd w:val="clear" w:color="auto" w:fill="AFDC7E"/>
        <w:jc w:val="both"/>
        <w:rPr>
          <w:rFonts w:asciiTheme="majorHAnsi" w:eastAsia="Aharoni" w:hAnsiTheme="majorHAnsi" w:cs="Aharoni"/>
          <w:b/>
          <w:color w:val="257144"/>
          <w:sz w:val="20"/>
          <w:szCs w:val="20"/>
        </w:rPr>
      </w:pPr>
      <w:r w:rsidRPr="00C3391F">
        <w:rPr>
          <w:rFonts w:asciiTheme="majorHAnsi" w:eastAsia="Aharoni" w:hAnsiTheme="majorHAnsi" w:cs="Aharoni"/>
          <w:b/>
          <w:color w:val="257144"/>
          <w:sz w:val="20"/>
          <w:szCs w:val="20"/>
        </w:rPr>
        <w:t>ANTES DEL ATENEO DIDÁCTICO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  <w:t>Primera parte: sobre la lectura</w:t>
      </w:r>
    </w:p>
    <w:p w:rsidR="00C61F71" w:rsidRPr="00C3391F" w:rsidRDefault="00492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Lea el</w:t>
      </w:r>
      <w:r w:rsidRPr="00C3391F">
        <w:rPr>
          <w:rFonts w:asciiTheme="majorHAnsi" w:eastAsia="Times New Roman" w:hAnsiTheme="majorHAnsi" w:cs="Times New Roman"/>
          <w:color w:val="00B050"/>
          <w:sz w:val="20"/>
          <w:szCs w:val="20"/>
        </w:rPr>
        <w:t xml:space="preserve">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documento de acompañamiento Nro. 5: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Desarrollo de la Comprensión lectora en Ciencias Naturales, Matemática y Tecnología, Lenguajes y Comunicación, y Ciencias Sociales y Humanidades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, para recuperar la complejidad que implica la enseñanza de la lectura</w:t>
      </w:r>
      <w:r w:rsidRPr="00C3391F">
        <w:rPr>
          <w:rFonts w:asciiTheme="majorHAnsi" w:eastAsia="Times New Roman" w:hAnsiTheme="majorHAnsi" w:cs="Times New Roman"/>
          <w:color w:val="76923C"/>
          <w:sz w:val="20"/>
          <w:szCs w:val="20"/>
        </w:rPr>
        <w:t xml:space="preserve">.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documento está disponible en: </w:t>
      </w:r>
      <w:hyperlink r:id="rId8">
        <w:r w:rsidRPr="00C3391F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https://drive.google.com/file/d/0B1cdKfdj7xxsWW1RMnVCanRkV0k/view</w:t>
        </w:r>
      </w:hyperlink>
    </w:p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Para ello explore las siguientes páginas:</w:t>
      </w:r>
    </w:p>
    <w:tbl>
      <w:tblPr>
        <w:tblStyle w:val="a2"/>
        <w:tblW w:w="8910" w:type="dxa"/>
        <w:tblInd w:w="45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12" w:space="0" w:color="76923C"/>
          <w:insideV w:val="single" w:sz="12" w:space="0" w:color="76923C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6698"/>
      </w:tblGrid>
      <w:tr w:rsidR="00C61F71" w:rsidRPr="00C3391F">
        <w:tc>
          <w:tcPr>
            <w:tcW w:w="2212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 xml:space="preserve">Espacio curricular </w:t>
            </w: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698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Apartados de lectura</w:t>
            </w:r>
          </w:p>
        </w:tc>
      </w:tr>
      <w:tr w:rsidR="00C61F71" w:rsidRPr="00C3391F">
        <w:tc>
          <w:tcPr>
            <w:tcW w:w="2212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Ciencias Sociales </w:t>
            </w:r>
          </w:p>
        </w:tc>
        <w:tc>
          <w:tcPr>
            <w:tcW w:w="6698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Algunos aportes para el desarrollo de la comprensión lectora en Ciencias Sociales (pp. 37-43).</w:t>
            </w:r>
          </w:p>
        </w:tc>
      </w:tr>
    </w:tbl>
    <w:p w:rsidR="00C61F71" w:rsidRPr="00C3391F" w:rsidRDefault="00492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sz w:val="20"/>
          <w:szCs w:val="20"/>
        </w:rPr>
        <w:t>Recupere un ejemplo de su práctica cotidiana donde analice a partir de los aportes del documento las condiciones presentes en esa situación de lectura (materiales de lectura, propósitos, consignas e intervenciones docentes)</w:t>
      </w:r>
    </w:p>
    <w:p w:rsidR="00C61F71" w:rsidRPr="00C3391F" w:rsidRDefault="00492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Retome y explique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una experienci</w:t>
      </w:r>
      <w:r w:rsidRPr="00C3391F">
        <w:rPr>
          <w:rFonts w:asciiTheme="majorHAnsi" w:eastAsia="Times New Roman" w:hAnsiTheme="majorHAnsi" w:cs="Times New Roman"/>
          <w:b/>
          <w:sz w:val="20"/>
          <w:szCs w:val="20"/>
        </w:rPr>
        <w:t>a el área de ciencias sociales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en la que pueda dar cuenta de los cambios logrados en los procesos de aprendizajes de los estudiantes de su plurigrado/pluricurso, según se dispuso en los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acuerdos didácticos elaborados en relación a la capacidad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Oralidad, lectura y escritura con énfasis en comprensión lectora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.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(Escriba el acuerdo al que ha</w:t>
      </w:r>
      <w:r w:rsidRPr="00C3391F">
        <w:rPr>
          <w:rFonts w:asciiTheme="majorHAnsi" w:eastAsia="Times New Roman" w:hAnsiTheme="majorHAnsi" w:cs="Times New Roman"/>
          <w:sz w:val="20"/>
          <w:szCs w:val="20"/>
        </w:rPr>
        <w:t>rá referencia)</w:t>
      </w:r>
    </w:p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Escriba a continuación sus respuestas (no debe exceder las 40 líneas, en letra arial 11, interlineado de 1,5 margen 2.5 cm).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  <w:t>……………………………………………………………………………………………………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  <w:t>Segunda parte: sobre las capacidades fundamentales, abordaje y resolución de situaciones problemáticas, pensamiento crítico y creativo, trabajo en colaboración para aprender a relacionarse e interactuar.</w:t>
      </w:r>
    </w:p>
    <w:p w:rsidR="00C61F71" w:rsidRPr="00C3391F" w:rsidRDefault="00492D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Lea los documentos: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after="0"/>
        <w:ind w:left="141" w:hanging="141"/>
        <w:jc w:val="both"/>
        <w:rPr>
          <w:rFonts w:asciiTheme="majorHAnsi" w:eastAsia="Times New Roman" w:hAnsiTheme="majorHAnsi" w:cs="Times New Roman"/>
          <w:color w:val="76923C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- 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Mejora en los Aprendizajes de Lengua, Matemática y Ciencias. Una propuesta desde el desarrollo de capacidades fundamentales. 1. Conceptos Clave,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para dimensionar la complejidad que implica enseñar capacidades fundamentales.</w:t>
      </w:r>
      <w:r w:rsidRPr="00C3391F">
        <w:rPr>
          <w:rFonts w:asciiTheme="majorHAnsi" w:eastAsia="Times New Roman" w:hAnsiTheme="majorHAnsi" w:cs="Times New Roman"/>
          <w:color w:val="00B050"/>
          <w:sz w:val="20"/>
          <w:szCs w:val="20"/>
        </w:rPr>
        <w:t xml:space="preserve">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 documento está disponible en </w:t>
      </w:r>
      <w:hyperlink r:id="rId9">
        <w:r w:rsidRPr="00C3391F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http://www.igualdadycalidadcba.gov.ar/SIPEC-CBA/Prioridades/fas%201%20final.pdf</w:t>
        </w:r>
      </w:hyperlink>
      <w:r w:rsidRPr="00C3391F">
        <w:rPr>
          <w:rFonts w:asciiTheme="majorHAnsi" w:eastAsia="Times New Roman" w:hAnsiTheme="majorHAnsi" w:cs="Times New Roman"/>
          <w:color w:val="76923C"/>
          <w:sz w:val="20"/>
          <w:szCs w:val="20"/>
        </w:rPr>
        <w:t xml:space="preserve"> 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after="0"/>
        <w:ind w:left="141" w:hanging="141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76923C"/>
          <w:sz w:val="20"/>
          <w:szCs w:val="20"/>
        </w:rPr>
        <w:t>-</w:t>
      </w: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 xml:space="preserve"> Mejora en los Aprendizajes de Lengua, Matemática y Ciencias. Una propuesta desde el desarrollo de capacidades fundamentales. 2 Estrategias de enseñanza e intervención</w:t>
      </w:r>
      <w:r w:rsidRPr="00C3391F">
        <w:rPr>
          <w:rFonts w:asciiTheme="majorHAnsi" w:eastAsia="Times New Roman" w:hAnsiTheme="majorHAnsi" w:cs="Times New Roman"/>
          <w:i/>
          <w:color w:val="000000"/>
          <w:sz w:val="20"/>
          <w:szCs w:val="20"/>
        </w:rPr>
        <w:t>.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El documento está disponible en </w:t>
      </w:r>
      <w:hyperlink r:id="rId10">
        <w:r w:rsidRPr="00C3391F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http://www.igualdadycalidadcba.gov.ar/SIPEC-CBA/Prioridades/fas%202%20final.pdf</w:t>
        </w:r>
      </w:hyperlink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</w:p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C61F71" w:rsidRPr="00C3391F" w:rsidRDefault="00492D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Elabore, a partir de los materiales leídos, una descripción de las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características de cada una de las capacidades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fundamentales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y complete el siguiente cuadro:</w:t>
      </w:r>
    </w:p>
    <w:tbl>
      <w:tblPr>
        <w:tblStyle w:val="a3"/>
        <w:tblW w:w="9079" w:type="dxa"/>
        <w:tblInd w:w="67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12" w:space="0" w:color="76923C"/>
          <w:insideV w:val="single" w:sz="12" w:space="0" w:color="76923C"/>
        </w:tblBorders>
        <w:tblLayout w:type="fixed"/>
        <w:tblLook w:val="0400" w:firstRow="0" w:lastRow="0" w:firstColumn="0" w:lastColumn="0" w:noHBand="0" w:noVBand="1"/>
      </w:tblPr>
      <w:tblGrid>
        <w:gridCol w:w="4543"/>
        <w:gridCol w:w="4536"/>
      </w:tblGrid>
      <w:tr w:rsidR="00C61F71" w:rsidRPr="00C3391F">
        <w:tc>
          <w:tcPr>
            <w:tcW w:w="4543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lastRenderedPageBreak/>
              <w:t>Capacidades fundamentales</w:t>
            </w:r>
          </w:p>
        </w:tc>
        <w:tc>
          <w:tcPr>
            <w:tcW w:w="4536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Características de las capacidades fundamentales</w:t>
            </w:r>
          </w:p>
        </w:tc>
      </w:tr>
      <w:tr w:rsidR="00C61F71" w:rsidRPr="00C3391F">
        <w:tc>
          <w:tcPr>
            <w:tcW w:w="4543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 xml:space="preserve"> Oralidad lectura y escritura con énfasis en comprensión lectora</w:t>
            </w:r>
          </w:p>
        </w:tc>
        <w:tc>
          <w:tcPr>
            <w:tcW w:w="4536" w:type="dxa"/>
            <w:shd w:val="clear" w:color="auto" w:fill="auto"/>
          </w:tcPr>
          <w:p w:rsidR="00C61F71" w:rsidRPr="00C3391F" w:rsidRDefault="00C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>
        <w:tc>
          <w:tcPr>
            <w:tcW w:w="4543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>Abordaje y resolución de situaciones problemáticas</w:t>
            </w:r>
          </w:p>
        </w:tc>
        <w:tc>
          <w:tcPr>
            <w:tcW w:w="4536" w:type="dxa"/>
            <w:shd w:val="clear" w:color="auto" w:fill="auto"/>
          </w:tcPr>
          <w:p w:rsidR="00C61F71" w:rsidRPr="00C3391F" w:rsidRDefault="00C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>
        <w:tc>
          <w:tcPr>
            <w:tcW w:w="4543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>Pensamiento crítico y creativo</w:t>
            </w:r>
          </w:p>
        </w:tc>
        <w:tc>
          <w:tcPr>
            <w:tcW w:w="4536" w:type="dxa"/>
            <w:shd w:val="clear" w:color="auto" w:fill="auto"/>
          </w:tcPr>
          <w:p w:rsidR="00C61F71" w:rsidRPr="00C3391F" w:rsidRDefault="00C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>
        <w:tc>
          <w:tcPr>
            <w:tcW w:w="4543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 xml:space="preserve">Trabajo en colaboración para aprender a relacionarse e interactuar </w:t>
            </w:r>
          </w:p>
        </w:tc>
        <w:tc>
          <w:tcPr>
            <w:tcW w:w="4536" w:type="dxa"/>
            <w:shd w:val="clear" w:color="auto" w:fill="auto"/>
          </w:tcPr>
          <w:p w:rsidR="00C61F71" w:rsidRPr="00C3391F" w:rsidRDefault="00C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Times New Roman" w:hAnsiTheme="majorHAnsi" w:cs="Times New Roman"/>
          <w:color w:val="FF0000"/>
          <w:sz w:val="20"/>
          <w:szCs w:val="20"/>
        </w:rPr>
      </w:pPr>
    </w:p>
    <w:p w:rsidR="00041D77" w:rsidRPr="00C3391F" w:rsidRDefault="00041D77" w:rsidP="00041D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sz w:val="20"/>
          <w:szCs w:val="20"/>
        </w:rPr>
        <w:t>Lea el documento de acompañamiento Nro.</w:t>
      </w:r>
      <w:r w:rsidRPr="00C3391F">
        <w:rPr>
          <w:rFonts w:asciiTheme="majorHAnsi" w:eastAsia="Times New Roman" w:hAnsiTheme="majorHAnsi" w:cs="Times New Roman"/>
          <w:sz w:val="20"/>
          <w:szCs w:val="20"/>
          <w:lang w:val="es-419"/>
        </w:rPr>
        <w:t xml:space="preserve"> 13 A: </w:t>
      </w:r>
      <w:r w:rsidRPr="00C3391F">
        <w:rPr>
          <w:rFonts w:asciiTheme="majorHAnsi" w:eastAsia="Times New Roman" w:hAnsiTheme="majorHAnsi" w:cs="Times New Roman"/>
          <w:b/>
          <w:sz w:val="20"/>
          <w:szCs w:val="20"/>
        </w:rPr>
        <w:t>Abordaje y resolución de situaciones problemáticas</w:t>
      </w:r>
      <w:r w:rsidRPr="00C3391F">
        <w:rPr>
          <w:rFonts w:asciiTheme="majorHAnsi" w:eastAsia="Times New Roman" w:hAnsiTheme="majorHAnsi" w:cs="Times New Roman"/>
          <w:sz w:val="20"/>
          <w:szCs w:val="20"/>
          <w:lang w:val="es-419"/>
        </w:rPr>
        <w:t xml:space="preserve">, disponible en </w:t>
      </w:r>
      <w:hyperlink r:id="rId11" w:history="1">
        <w:r w:rsidRPr="00C3391F">
          <w:rPr>
            <w:rStyle w:val="Hipervnculo"/>
            <w:rFonts w:asciiTheme="majorHAnsi" w:eastAsia="Times New Roman" w:hAnsiTheme="majorHAnsi" w:cs="Times New Roman"/>
            <w:sz w:val="20"/>
            <w:szCs w:val="20"/>
            <w:lang w:val="es-419"/>
          </w:rPr>
          <w:t>https://drive.google.com/file/d/0B1cdKfdj7xxsdXNlaHZ6OXo3Q0U/view</w:t>
        </w:r>
      </w:hyperlink>
      <w:r w:rsidRPr="00C3391F">
        <w:rPr>
          <w:rFonts w:asciiTheme="majorHAnsi" w:eastAsia="Times New Roman" w:hAnsiTheme="majorHAnsi" w:cs="Times New Roman"/>
          <w:sz w:val="20"/>
          <w:szCs w:val="20"/>
          <w:lang w:val="es-419"/>
        </w:rPr>
        <w:t xml:space="preserve"> </w:t>
      </w:r>
    </w:p>
    <w:p w:rsidR="00C61F71" w:rsidRPr="00C3391F" w:rsidRDefault="00492DE4" w:rsidP="00041D77">
      <w:pPr>
        <w:widowControl w:val="0"/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Explique qué aspectos específicos del aula </w:t>
      </w:r>
      <w:r w:rsidR="00041D77" w:rsidRPr="00C3391F">
        <w:rPr>
          <w:rFonts w:asciiTheme="majorHAnsi" w:eastAsia="Times New Roman" w:hAnsiTheme="majorHAnsi" w:cs="Times New Roman"/>
          <w:color w:val="000000"/>
          <w:sz w:val="20"/>
          <w:szCs w:val="20"/>
          <w:lang w:val="es-419"/>
        </w:rPr>
        <w:t>de sección múltiple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debería tener en cuenta al abordar las capacidades fundamentales en su agrupamiento de estudiantes.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Escriba a continuación sus respuestas (no debe exceder las 30 líneas, en letra arial 11, interlineado de 1,5 margen 2.5 cm).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  <w:t>……………………………………………………………………………………………………</w:t>
      </w:r>
    </w:p>
    <w:p w:rsidR="00C61F71" w:rsidRPr="00C3391F" w:rsidRDefault="00492DE4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  <w:between w:val="nil"/>
        </w:pBdr>
        <w:shd w:val="clear" w:color="auto" w:fill="AFDC7E"/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  <w:r w:rsidRPr="00C3391F">
        <w:rPr>
          <w:rFonts w:asciiTheme="majorHAnsi" w:eastAsia="Aharoni" w:hAnsiTheme="majorHAnsi" w:cs="Aharoni"/>
          <w:b/>
          <w:color w:val="257144"/>
          <w:sz w:val="20"/>
          <w:szCs w:val="20"/>
        </w:rPr>
        <w:t>DURANTE EL ATENEO DIDÁCTICO</w:t>
      </w:r>
      <w:r w:rsidRPr="00C3391F"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  <w:t xml:space="preserve"> </w:t>
      </w:r>
    </w:p>
    <w:p w:rsidR="00C61F71" w:rsidRPr="00C3391F" w:rsidRDefault="00492D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Sobre el análisis del caso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: Complete el cuadro seleccionando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3 (tres)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aspectos relacionados con el desarrollo de la capacidad abordada durante el ateneo que resultaron relevantes para el agrupamiento de escuelas en el momento de la reflexión. </w:t>
      </w:r>
    </w:p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tbl>
      <w:tblPr>
        <w:tblStyle w:val="a4"/>
        <w:tblW w:w="9358" w:type="dxa"/>
        <w:tblInd w:w="0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12" w:space="0" w:color="76923C"/>
          <w:insideV w:val="single" w:sz="12" w:space="0" w:color="76923C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6345"/>
      </w:tblGrid>
      <w:tr w:rsidR="00C61F71" w:rsidRPr="00C3391F">
        <w:tc>
          <w:tcPr>
            <w:tcW w:w="3013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Capacidades fundamentales</w:t>
            </w:r>
          </w:p>
        </w:tc>
        <w:tc>
          <w:tcPr>
            <w:tcW w:w="6345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Aspectos relevantes</w:t>
            </w:r>
          </w:p>
        </w:tc>
      </w:tr>
      <w:tr w:rsidR="00C61F71" w:rsidRPr="00C3391F">
        <w:tc>
          <w:tcPr>
            <w:tcW w:w="3013" w:type="dxa"/>
            <w:shd w:val="clear" w:color="auto" w:fill="auto"/>
            <w:vAlign w:val="center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>Abordaje y resolución de situaciones problemáticas</w:t>
            </w:r>
          </w:p>
        </w:tc>
        <w:tc>
          <w:tcPr>
            <w:tcW w:w="6345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2.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3.</w:t>
            </w:r>
          </w:p>
        </w:tc>
      </w:tr>
    </w:tbl>
    <w:p w:rsidR="00C61F71" w:rsidRPr="00C3391F" w:rsidRDefault="00C61F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720" w:hanging="7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C61F71" w:rsidRPr="00C3391F" w:rsidRDefault="00492DE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Sobre los acuerdos didácticos del agrupamiento de instituciones: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Complete el cuadro con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2 (dos)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acuerdos didácticos que surgieron del análisi</w:t>
      </w:r>
      <w:r w:rsidRPr="00C3391F">
        <w:rPr>
          <w:rFonts w:asciiTheme="majorHAnsi" w:eastAsia="Times New Roman" w:hAnsiTheme="majorHAnsi" w:cs="Times New Roman"/>
          <w:sz w:val="20"/>
          <w:szCs w:val="20"/>
        </w:rPr>
        <w:t xml:space="preserve">s del caso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durante el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 ateneo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atendiendo a la capacidad abordada</w:t>
      </w:r>
      <w:r w:rsidRPr="00C3391F">
        <w:rPr>
          <w:rFonts w:asciiTheme="majorHAnsi" w:eastAsia="Times New Roman" w:hAnsiTheme="majorHAnsi" w:cs="Times New Roman"/>
          <w:sz w:val="20"/>
          <w:szCs w:val="20"/>
        </w:rPr>
        <w:t>.</w:t>
      </w:r>
    </w:p>
    <w:tbl>
      <w:tblPr>
        <w:tblStyle w:val="a5"/>
        <w:tblW w:w="9356" w:type="dxa"/>
        <w:tblInd w:w="-34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12" w:space="0" w:color="76923C"/>
          <w:insideV w:val="single" w:sz="12" w:space="0" w:color="76923C"/>
        </w:tblBorders>
        <w:tblLayout w:type="fixed"/>
        <w:tblLook w:val="0400" w:firstRow="0" w:lastRow="0" w:firstColumn="0" w:lastColumn="0" w:noHBand="0" w:noVBand="1"/>
      </w:tblPr>
      <w:tblGrid>
        <w:gridCol w:w="3926"/>
        <w:gridCol w:w="5430"/>
      </w:tblGrid>
      <w:tr w:rsidR="00C61F71" w:rsidRPr="00C3391F" w:rsidTr="00041D77">
        <w:tc>
          <w:tcPr>
            <w:tcW w:w="3926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Capacidades fundamentales</w:t>
            </w:r>
          </w:p>
        </w:tc>
        <w:tc>
          <w:tcPr>
            <w:tcW w:w="5430" w:type="dxa"/>
            <w:shd w:val="clear" w:color="auto" w:fill="AFDC7E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Acuerdos didácticos del agrupamiento de instituciones</w:t>
            </w:r>
          </w:p>
        </w:tc>
      </w:tr>
      <w:tr w:rsidR="00C61F71" w:rsidRPr="00C3391F" w:rsidTr="00041D77">
        <w:tc>
          <w:tcPr>
            <w:tcW w:w="3926" w:type="dxa"/>
            <w:shd w:val="clear" w:color="auto" w:fill="auto"/>
            <w:vAlign w:val="center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i/>
                <w:color w:val="257144"/>
                <w:sz w:val="20"/>
                <w:szCs w:val="20"/>
              </w:rPr>
              <w:t>Abordaje y resolución de situaciones problemáticas</w:t>
            </w:r>
          </w:p>
        </w:tc>
        <w:tc>
          <w:tcPr>
            <w:tcW w:w="5430" w:type="dxa"/>
            <w:shd w:val="clear" w:color="auto" w:fill="auto"/>
          </w:tcPr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</w:t>
            </w:r>
          </w:p>
          <w:p w:rsidR="00C61F71" w:rsidRPr="00C3391F" w:rsidRDefault="004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2.</w:t>
            </w:r>
          </w:p>
        </w:tc>
      </w:tr>
    </w:tbl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b/>
          <w:color w:val="76923C"/>
          <w:sz w:val="20"/>
          <w:szCs w:val="20"/>
        </w:rPr>
        <w:t>……………………………………………………………………………………………………</w:t>
      </w:r>
    </w:p>
    <w:p w:rsidR="00C61F71" w:rsidRPr="00C3391F" w:rsidRDefault="00492DE4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  <w:between w:val="nil"/>
        </w:pBdr>
        <w:shd w:val="clear" w:color="auto" w:fill="AFDC7E"/>
        <w:jc w:val="both"/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</w:pPr>
      <w:r w:rsidRPr="00C3391F">
        <w:rPr>
          <w:rFonts w:asciiTheme="majorHAnsi" w:eastAsia="Aharoni" w:hAnsiTheme="majorHAnsi" w:cs="Aharoni"/>
          <w:b/>
          <w:color w:val="257144"/>
          <w:sz w:val="20"/>
          <w:szCs w:val="20"/>
        </w:rPr>
        <w:t>DESPUÉS DEL ATENEO DIDÁCTICO</w:t>
      </w:r>
      <w:r w:rsidRPr="00C3391F">
        <w:rPr>
          <w:rFonts w:asciiTheme="majorHAnsi" w:eastAsia="Times New Roman" w:hAnsiTheme="majorHAnsi" w:cs="Times New Roman"/>
          <w:b/>
          <w:color w:val="257144"/>
          <w:sz w:val="20"/>
          <w:szCs w:val="20"/>
        </w:rPr>
        <w:t xml:space="preserve"> </w:t>
      </w:r>
    </w:p>
    <w:p w:rsidR="00C61F71" w:rsidRPr="00C3391F" w:rsidRDefault="00492D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Seleccione -considerando la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realidad de su agrupamiento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-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  <w:u w:val="single"/>
        </w:rPr>
        <w:t>1 (uno)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de los acuerdos didácticos elaborados y modifíquelo considerando lo realizado en el ateneo. Explique por qué la selección realizada constituye un aporte para su escuela y su agrupamiento de escuelas. </w:t>
      </w:r>
    </w:p>
    <w:p w:rsidR="00C61F71" w:rsidRPr="00C3391F" w:rsidRDefault="00492D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Planifique e implemente una propuesta de enseñanza donde se ponga en evidencia lo abordado en el ateneo sobre el desarrollo de la capacidad de </w:t>
      </w:r>
      <w:r w:rsidRPr="00C3391F">
        <w:rPr>
          <w:rFonts w:asciiTheme="majorHAnsi" w:eastAsia="Times New Roman" w:hAnsiTheme="majorHAnsi" w:cs="Times New Roman"/>
          <w:b/>
          <w:i/>
          <w:color w:val="257144"/>
          <w:sz w:val="20"/>
          <w:szCs w:val="20"/>
        </w:rPr>
        <w:t>Abordaje y resolución de situaciones problemáticas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para </w:t>
      </w: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lastRenderedPageBreak/>
        <w:t xml:space="preserve">cualquier aprendizaje y contenido de las Ciencias Sociales. </w:t>
      </w:r>
    </w:p>
    <w:p w:rsidR="00C61F71" w:rsidRPr="00C3391F" w:rsidRDefault="00492DE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Deberá presentar 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una planificación para el espacio curricular de Ciencias </w:t>
      </w:r>
      <w:r w:rsidR="00A53B79"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Sociales según</w:t>
      </w:r>
      <w:r w:rsidRPr="00C3391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 la capacidad de Abordaje y resolución de situaciones problemáticas.</w:t>
      </w:r>
    </w:p>
    <w:p w:rsidR="00C61F71" w:rsidRPr="00C3391F" w:rsidRDefault="00492D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C3391F">
        <w:rPr>
          <w:rFonts w:asciiTheme="majorHAnsi" w:eastAsia="Times New Roman" w:hAnsiTheme="majorHAnsi" w:cs="Times New Roman"/>
          <w:color w:val="000000"/>
          <w:sz w:val="20"/>
          <w:szCs w:val="20"/>
        </w:rPr>
        <w:t>Para presentar cada planificación, complete una tabla como la siguiente:</w:t>
      </w: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536"/>
      </w:tblGrid>
      <w:tr w:rsidR="00C61F71" w:rsidRPr="00C3391F" w:rsidTr="00041D77">
        <w:tc>
          <w:tcPr>
            <w:tcW w:w="5353" w:type="dxa"/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1F497D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 xml:space="preserve">Objetivos 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(mencione uno como mínimo y tres como máximo)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Mencione objetivos referidos al logro de la capacidad fundamental considerada</w:t>
            </w:r>
          </w:p>
        </w:tc>
        <w:tc>
          <w:tcPr>
            <w:tcW w:w="4536" w:type="dxa"/>
          </w:tcPr>
          <w:p w:rsidR="00C61F71" w:rsidRPr="00C3391F" w:rsidRDefault="00C61F71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 w:rsidTr="00041D77">
        <w:tc>
          <w:tcPr>
            <w:tcW w:w="5353" w:type="dxa"/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Aprendizajes y contenidos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(mencione uno como mínimo y tres como máximo) 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Mencionar aprendizajes y contenidos del Diseño Curricular que se van a abordar en articulación con el desarrollo de la capacidad fundamental para cada grado</w:t>
            </w:r>
          </w:p>
        </w:tc>
        <w:tc>
          <w:tcPr>
            <w:tcW w:w="4536" w:type="dxa"/>
          </w:tcPr>
          <w:p w:rsidR="00C61F71" w:rsidRPr="00C3391F" w:rsidRDefault="00C61F71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 w:rsidTr="00041D77">
        <w:tc>
          <w:tcPr>
            <w:tcW w:w="5353" w:type="dxa"/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Capacidad a desarrollar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Abordaje y resolución de situaciones problemáticas:</w:t>
            </w:r>
          </w:p>
          <w:p w:rsidR="00C61F71" w:rsidRPr="00C3391F" w:rsidRDefault="00492DE4" w:rsidP="00041D77">
            <w:pPr>
              <w:widowControl w:val="0"/>
              <w:spacing w:line="276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Lea el documento de acompañamiento Nro. 13 D: Abordaje y resolución de situaciones problemáticas disponible en </w:t>
            </w:r>
            <w:hyperlink r:id="rId12">
              <w:r w:rsidRPr="00C3391F">
                <w:rPr>
                  <w:rFonts w:asciiTheme="majorHAnsi" w:eastAsia="Times New Roman" w:hAnsiTheme="majorHAnsi" w:cs="Times New Roman"/>
                  <w:color w:val="0000FF"/>
                  <w:sz w:val="20"/>
                  <w:szCs w:val="20"/>
                  <w:u w:val="single"/>
                </w:rPr>
                <w:t>https://drive.google.com/file/d/0B1cdKfdj7xxsTlItNDhjTDFfanc/view</w:t>
              </w:r>
            </w:hyperlink>
          </w:p>
          <w:p w:rsidR="00C61F71" w:rsidRPr="00C3391F" w:rsidRDefault="00492DE4" w:rsidP="0004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Para ampliar información sobre indicadores de las capacidades mencionadas remitirse a: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419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Gobierno de Córdoba, Ministerio de Educación. Secretaría de Educación. Subsecretaría de Promoción de Igualdad y Calidad Educativa (2017). Fascículo 22: Algunos indicadores a considerar. En </w:t>
            </w:r>
            <w:r w:rsidRPr="00C3391F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Serie mejora en los aprendizajes de Lengua, Matemática y Ciencias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. Córdoba, Argentina: Autor. Disponible en: </w:t>
            </w:r>
            <w:hyperlink r:id="rId13">
              <w:r w:rsidRPr="00C3391F">
                <w:rPr>
                  <w:rFonts w:asciiTheme="majorHAnsi" w:eastAsia="Times New Roman" w:hAnsiTheme="majorHAnsi" w:cs="Times New Roman"/>
                  <w:color w:val="0000FF"/>
                  <w:sz w:val="20"/>
                  <w:szCs w:val="20"/>
                  <w:u w:val="single"/>
                </w:rPr>
                <w:t>http://www.igualdadycalidadcba.gov.ar/SIPEC-CBA/Prioridades/fas_22.pdf</w:t>
              </w:r>
            </w:hyperlink>
          </w:p>
        </w:tc>
        <w:tc>
          <w:tcPr>
            <w:tcW w:w="4536" w:type="dxa"/>
          </w:tcPr>
          <w:p w:rsidR="00C61F71" w:rsidRPr="00C3391F" w:rsidRDefault="00C61F71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 w:rsidTr="00041D77">
        <w:tc>
          <w:tcPr>
            <w:tcW w:w="5353" w:type="dxa"/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Actividad/es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(mencione dos como máximo)</w:t>
            </w:r>
          </w:p>
          <w:p w:rsidR="00C61F71" w:rsidRPr="00C3391F" w:rsidRDefault="00492DE4" w:rsidP="0004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Incluir tareas específicas tendientes a desarrollar la capacidad en relación con los contenidos propios del espacio curricular.</w:t>
            </w:r>
          </w:p>
          <w:p w:rsidR="00C61F71" w:rsidRPr="00C3391F" w:rsidRDefault="00492DE4" w:rsidP="0004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Tenga presente algunos de los aspectos que involucra el desarrollo de la capacidad, por ejemplo: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Para abordaje y resolución de situaciones problemáticas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respecto de las actividades que se plantean a los estudiantes para que aborden, resuelvan la situación problemática y reflexionen acerca de lo realizado:</w:t>
            </w: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br/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Comprender e interiorizar la situación problemática.</w:t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Realizar tratamiento de la información.</w:t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Seleccionar los procedimientos para la resolución de la situación problemática.</w:t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Anticipar procedimientos.</w:t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Analizar y evaluar alternativas de resolución.</w:t>
            </w:r>
          </w:p>
          <w:p w:rsidR="00C61F71" w:rsidRPr="00C3391F" w:rsidRDefault="00492DE4" w:rsidP="00041D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Justificar/fundamentar los procedimientos utilizados.</w:t>
            </w:r>
          </w:p>
        </w:tc>
        <w:tc>
          <w:tcPr>
            <w:tcW w:w="4536" w:type="dxa"/>
          </w:tcPr>
          <w:p w:rsidR="00C61F71" w:rsidRPr="00C3391F" w:rsidRDefault="00C61F71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1F71" w:rsidRPr="00C3391F" w:rsidTr="00041D77">
        <w:tc>
          <w:tcPr>
            <w:tcW w:w="5353" w:type="dxa"/>
          </w:tcPr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b/>
                <w:color w:val="257144"/>
                <w:sz w:val="20"/>
                <w:szCs w:val="20"/>
              </w:rPr>
              <w:t>Evidencias</w:t>
            </w:r>
          </w:p>
          <w:p w:rsidR="00C61F71" w:rsidRPr="00C3391F" w:rsidRDefault="00492DE4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3391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Incluir dos testimonios fotográficos y/o producciones de los estudiantes sobre la implementación de la propuesta de enseñanza </w:t>
            </w:r>
          </w:p>
        </w:tc>
        <w:tc>
          <w:tcPr>
            <w:tcW w:w="4536" w:type="dxa"/>
          </w:tcPr>
          <w:p w:rsidR="00C61F71" w:rsidRPr="00C3391F" w:rsidRDefault="00C61F71" w:rsidP="00041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C61F71" w:rsidRPr="00C3391F" w:rsidRDefault="00C61F7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sectPr w:rsidR="00C61F71" w:rsidRPr="00C339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522" w:right="1361" w:bottom="1418" w:left="1418" w:header="709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02" w:rsidRDefault="00E75A02">
      <w:pPr>
        <w:spacing w:after="0" w:line="240" w:lineRule="auto"/>
      </w:pPr>
      <w:r>
        <w:separator/>
      </w:r>
    </w:p>
  </w:endnote>
  <w:endnote w:type="continuationSeparator" w:id="0">
    <w:p w:rsidR="00E75A02" w:rsidRDefault="00E7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Flama">
    <w:altName w:val="Times New Roman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9" w:rsidRDefault="00A53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71" w:rsidRPr="00021AE8" w:rsidRDefault="00021AE8" w:rsidP="00021AE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5DCCB35" wp14:editId="226C6B26">
              <wp:simplePos x="0" y="0"/>
              <wp:positionH relativeFrom="column">
                <wp:posOffset>-174625</wp:posOffset>
              </wp:positionH>
              <wp:positionV relativeFrom="paragraph">
                <wp:posOffset>-450215</wp:posOffset>
              </wp:positionV>
              <wp:extent cx="3512185" cy="771525"/>
              <wp:effectExtent l="0" t="0" r="0" b="952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21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1AE8" w:rsidRDefault="00021AE8" w:rsidP="00021AE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Flama" w:eastAsia="Flama" w:hAnsi="Flama" w:cs="Flama"/>
                              <w:b/>
                              <w:color w:val="000000"/>
                              <w:sz w:val="18"/>
                            </w:rPr>
                            <w:t>PNFS – EJE 2 – Ampliación del conocimiento didáctico</w:t>
                          </w:r>
                        </w:p>
                        <w:p w:rsidR="00021AE8" w:rsidRDefault="00021AE8" w:rsidP="00021AE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Flama" w:eastAsia="Flama" w:hAnsi="Flama" w:cs="Flama"/>
                              <w:b/>
                              <w:color w:val="000000"/>
                              <w:sz w:val="15"/>
                            </w:rPr>
                            <w:t>Subsecretaría de Promoción de Igualdad y Calidad Educativa</w:t>
                          </w:r>
                        </w:p>
                        <w:p w:rsidR="00021AE8" w:rsidRPr="00021AE8" w:rsidRDefault="00021AE8" w:rsidP="00021AE8">
                          <w:pPr>
                            <w:spacing w:after="0" w:line="240" w:lineRule="auto"/>
                            <w:textDirection w:val="btLr"/>
                            <w:rPr>
                              <w:lang w:val="es-419"/>
                            </w:rPr>
                          </w:pPr>
                          <w:r>
                            <w:rPr>
                              <w:rFonts w:ascii="Flama" w:eastAsia="Flama" w:hAnsi="Flama" w:cs="Flama"/>
                              <w:color w:val="000000"/>
                              <w:sz w:val="15"/>
                            </w:rPr>
                            <w:t>(+54) (0351) 4462400 Interno 1002/1006</w:t>
                          </w:r>
                        </w:p>
                        <w:p w:rsidR="00021AE8" w:rsidRDefault="00021AE8" w:rsidP="00021AE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Flama" w:eastAsia="Flama" w:hAnsi="Flama" w:cs="Flama"/>
                              <w:color w:val="000000"/>
                              <w:sz w:val="15"/>
                            </w:rPr>
                            <w:t>Santa Rosa N</w:t>
                          </w:r>
                          <w:r>
                            <w:rPr>
                              <w:rFonts w:ascii="Flama" w:eastAsia="Flama" w:hAnsi="Flama" w:cs="Flama"/>
                              <w:color w:val="000000"/>
                              <w:sz w:val="15"/>
                              <w:lang w:val="es-419"/>
                            </w:rPr>
                            <w:t>ro.</w:t>
                          </w:r>
                          <w:r>
                            <w:rPr>
                              <w:rFonts w:ascii="Flama" w:eastAsia="Flama" w:hAnsi="Flama" w:cs="Flama"/>
                              <w:color w:val="000000"/>
                              <w:sz w:val="15"/>
                            </w:rPr>
                            <w:t xml:space="preserve"> 751 - 1 piso</w:t>
                          </w:r>
                        </w:p>
                        <w:p w:rsidR="00021AE8" w:rsidRDefault="00021AE8" w:rsidP="00021AE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Flama" w:eastAsia="Flama" w:hAnsi="Flama" w:cs="Flama"/>
                              <w:color w:val="000000"/>
                              <w:sz w:val="15"/>
                            </w:rPr>
                            <w:t>Córdoba Capital - República Argentina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25DCCB35" id="2 Rectángulo" o:spid="_x0000_s1027" style="position:absolute;margin-left:-13.75pt;margin-top:-35.45pt;width:276.5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jAwwEAAGMDAAAOAAAAZHJzL2Uyb0RvYy54bWysU9uO0zAQfUfiHyy/0zRhQ5eo6T6wKkJa&#10;QbULH+A6TmPJN2bcJv0cvoUfY+x2uwXeEC/O3HJmzvF4eTdZww4KUHvX8nI250w56Tvtdi3/9nX9&#10;5pYzjMJ1wninWn5UyO9Wr18tx9Coyg/edAoYgThsxtDyIcbQFAXKQVmBMx+Uo2TvwYpILuyKDsRI&#10;6NYU1Xz+rhg9dAG8VIgUvT8l+Srj972S8Uvfo4rMtJxmi/mEfG7TWayWotmBCIOW5zHEP0xhhXbU&#10;9AJ1L6Jge9B/QVktwaPv40x6W/i+11JlDsSmnP/B5mkQQWUuJA6Gi0z4/2Dl58MGmO5aXnHmhKUr&#10;qtgjyfbzh9vtjU8CjQEbqnsKGzh7SGZiO/Vg05d4sCmLeryIqqbIJAXf1mVV3tacScotFmVd1Qm0&#10;ePk7AMaPyluWjJYDdc9aisMDxlPpc0lq5vxaG0Nx0Rj3W4AwU6RIA59GTFactlNmWD6T2fruSKwx&#10;yLWmlg8C40YA3XvJ2Ui70HL8vhegODOfHIn9vryhoVnMzk29mNMmwXVme50RTg6eVixydjI/xLxw&#10;iUmah24y0z9vXVqVaz9XvbyN1S8AAAD//wMAUEsDBBQABgAIAAAAIQAr0UFO3AAAAAoBAAAPAAAA&#10;ZHJzL2Rvd25yZXYueG1sTI/BTsMwDIbvSLxDZCRuW7KKdtA1nRCCA0c6DhyzxmsrEqdq0q17e8wJ&#10;br/lT78/V/vFO3HGKQ6BNGzWCgRSG+xAnYbPw9vqEURMhqxxgVDDFSPs69ubypQ2XOgDz03qBJdQ&#10;LI2GPqWxlDK2PXoT12FE4t0pTN4kHqdO2slcuNw7mSlVSG8G4gu9GfGlx/a7mb2GEZ2d3UOjvlr5&#10;OtGmeD/Ia671/d3yvAORcEl/MPzqszrU7HQMM9konIZVts0Z5bBVTyCYyLO8AHHkoAqQdSX/v1D/&#10;AAAA//8DAFBLAQItABQABgAIAAAAIQC2gziS/gAAAOEBAAATAAAAAAAAAAAAAAAAAAAAAABbQ29u&#10;dGVudF9UeXBlc10ueG1sUEsBAi0AFAAGAAgAAAAhADj9If/WAAAAlAEAAAsAAAAAAAAAAAAAAAAA&#10;LwEAAF9yZWxzLy5yZWxzUEsBAi0AFAAGAAgAAAAhAAvMSMDDAQAAYwMAAA4AAAAAAAAAAAAAAAAA&#10;LgIAAGRycy9lMm9Eb2MueG1sUEsBAi0AFAAGAAgAAAAhACvRQU7cAAAACgEAAA8AAAAAAAAAAAAA&#10;AAAAHQQAAGRycy9kb3ducmV2LnhtbFBLBQYAAAAABAAEAPMAAAAmBQAAAAA=&#10;" filled="f" stroked="f">
              <v:textbox inset="2.53958mm,1.2694mm,2.53958mm,1.2694mm">
                <w:txbxContent>
                  <w:p w:rsidR="00021AE8" w:rsidRDefault="00021AE8" w:rsidP="00021AE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Flama" w:eastAsia="Flama" w:hAnsi="Flama" w:cs="Flama"/>
                        <w:b/>
                        <w:color w:val="000000"/>
                        <w:sz w:val="18"/>
                      </w:rPr>
                      <w:t>PNFS – EJE 2 – Ampliación del conocimiento didáctico</w:t>
                    </w:r>
                  </w:p>
                  <w:p w:rsidR="00021AE8" w:rsidRDefault="00021AE8" w:rsidP="00021AE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Flama" w:eastAsia="Flama" w:hAnsi="Flama" w:cs="Flama"/>
                        <w:b/>
                        <w:color w:val="000000"/>
                        <w:sz w:val="15"/>
                      </w:rPr>
                      <w:t>Subsecretaría de Promoción de Igualdad y Calidad Educativa</w:t>
                    </w:r>
                  </w:p>
                  <w:p w:rsidR="00021AE8" w:rsidRPr="00021AE8" w:rsidRDefault="00021AE8" w:rsidP="00021AE8">
                    <w:pPr>
                      <w:spacing w:after="0" w:line="240" w:lineRule="auto"/>
                      <w:textDirection w:val="btLr"/>
                      <w:rPr>
                        <w:lang w:val="es-419"/>
                      </w:rPr>
                    </w:pPr>
                    <w:r>
                      <w:rPr>
                        <w:rFonts w:ascii="Flama" w:eastAsia="Flama" w:hAnsi="Flama" w:cs="Flama"/>
                        <w:color w:val="000000"/>
                        <w:sz w:val="15"/>
                      </w:rPr>
                      <w:t>(+54) (0351) 4462400 Interno 1002/1006</w:t>
                    </w:r>
                  </w:p>
                  <w:p w:rsidR="00021AE8" w:rsidRDefault="00021AE8" w:rsidP="00021AE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Flama" w:eastAsia="Flama" w:hAnsi="Flama" w:cs="Flama"/>
                        <w:color w:val="000000"/>
                        <w:sz w:val="15"/>
                      </w:rPr>
                      <w:t>Santa Rosa N</w:t>
                    </w:r>
                    <w:r>
                      <w:rPr>
                        <w:rFonts w:ascii="Flama" w:eastAsia="Flama" w:hAnsi="Flama" w:cs="Flama"/>
                        <w:color w:val="000000"/>
                        <w:sz w:val="15"/>
                        <w:lang w:val="es-419"/>
                      </w:rPr>
                      <w:t>ro.</w:t>
                    </w:r>
                    <w:r>
                      <w:rPr>
                        <w:rFonts w:ascii="Flama" w:eastAsia="Flama" w:hAnsi="Flama" w:cs="Flama"/>
                        <w:color w:val="000000"/>
                        <w:sz w:val="15"/>
                      </w:rPr>
                      <w:t xml:space="preserve"> 751 - 1 piso</w:t>
                    </w:r>
                  </w:p>
                  <w:p w:rsidR="00021AE8" w:rsidRDefault="00021AE8" w:rsidP="00021AE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Flama" w:eastAsia="Flama" w:hAnsi="Flama" w:cs="Flama"/>
                        <w:color w:val="000000"/>
                        <w:sz w:val="15"/>
                      </w:rPr>
                      <w:t>Córdoba Capital - República Argentina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hidden="0" allowOverlap="1" wp14:anchorId="18977D04" wp14:editId="06A3C48B">
          <wp:simplePos x="0" y="0"/>
          <wp:positionH relativeFrom="column">
            <wp:posOffset>-900430</wp:posOffset>
          </wp:positionH>
          <wp:positionV relativeFrom="paragraph">
            <wp:posOffset>-496570</wp:posOffset>
          </wp:positionV>
          <wp:extent cx="7608570" cy="970915"/>
          <wp:effectExtent l="0" t="0" r="0" b="635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570" cy="970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9" w:rsidRDefault="00A53B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02" w:rsidRDefault="00E75A02">
      <w:pPr>
        <w:spacing w:after="0" w:line="240" w:lineRule="auto"/>
      </w:pPr>
      <w:r>
        <w:separator/>
      </w:r>
    </w:p>
  </w:footnote>
  <w:footnote w:type="continuationSeparator" w:id="0">
    <w:p w:rsidR="00E75A02" w:rsidRDefault="00E75A02">
      <w:pPr>
        <w:spacing w:after="0" w:line="240" w:lineRule="auto"/>
      </w:pPr>
      <w:r>
        <w:continuationSeparator/>
      </w:r>
    </w:p>
  </w:footnote>
  <w:footnote w:id="1">
    <w:p w:rsidR="00C61F71" w:rsidRDefault="00492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Ministerio de Educación y Deportes (2017)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Leer en plural. La lectura en la escuela y en cada área. Jornada Institucional Nro. 1 Nivel Secundario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p.62. Buenos Aires: Autor.</w:t>
      </w:r>
    </w:p>
  </w:footnote>
  <w:footnote w:id="2">
    <w:p w:rsidR="00C61F71" w:rsidRPr="00A53B79" w:rsidRDefault="00492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53B79">
        <w:rPr>
          <w:rFonts w:asciiTheme="majorHAnsi" w:hAnsiTheme="majorHAnsi"/>
          <w:sz w:val="16"/>
          <w:szCs w:val="16"/>
          <w:vertAlign w:val="superscript"/>
        </w:rPr>
        <w:footnoteRef/>
      </w:r>
      <w:r w:rsidRPr="00A53B79">
        <w:rPr>
          <w:rFonts w:asciiTheme="majorHAnsi" w:hAnsiTheme="majorHAnsi"/>
          <w:color w:val="000000"/>
          <w:sz w:val="16"/>
          <w:szCs w:val="16"/>
        </w:rPr>
        <w:t xml:space="preserve"> </w:t>
      </w:r>
      <w:r w:rsidRPr="00A53B79">
        <w:rPr>
          <w:rFonts w:asciiTheme="majorHAnsi" w:eastAsia="Times New Roman" w:hAnsiTheme="majorHAnsi" w:cs="Times New Roman"/>
          <w:color w:val="000000"/>
          <w:sz w:val="16"/>
          <w:szCs w:val="16"/>
        </w:rPr>
        <w:t>Los docentes tutores, al igual que los maestros de las escuelas primarias, deberán responder por los cuatro espacios curriculares.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9" w:rsidRDefault="00A53B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71" w:rsidRDefault="00E75A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  <w:sdt>
      <w:sdtPr>
        <w:rPr>
          <w:color w:val="000000"/>
          <w:sz w:val="20"/>
          <w:szCs w:val="20"/>
        </w:rPr>
        <w:id w:val="66154651"/>
        <w:docPartObj>
          <w:docPartGallery w:val="Page Numbers (Margins)"/>
          <w:docPartUnique/>
        </w:docPartObj>
      </w:sdtPr>
      <w:sdtEndPr/>
      <w:sdtContent>
        <w:r w:rsidR="00926DAA" w:rsidRPr="00926DAA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CA67217" wp14:editId="3873997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wps:spPr>
                        <wps:txbx>
                          <w:txbxContent>
                            <w:p w:rsidR="00926DAA" w:rsidRPr="00926DAA" w:rsidRDefault="00926DAA">
                              <w:pPr>
                                <w:rPr>
                                  <w:rStyle w:val="Nmerodepgina"/>
                                  <w:color w:val="000000" w:themeColor="text1"/>
                                  <w:szCs w:val="24"/>
                                </w:rPr>
                              </w:pPr>
                              <w:r w:rsidRPr="00926DAA">
                                <w:fldChar w:fldCharType="begin"/>
                              </w:r>
                              <w:r w:rsidRPr="00926DAA">
                                <w:rPr>
                                  <w:color w:val="000000" w:themeColor="text1"/>
                                </w:rPr>
                                <w:instrText>PAGE    \* MERGEFORMAT</w:instrText>
                              </w:r>
                              <w:r w:rsidRPr="00926DAA">
                                <w:fldChar w:fldCharType="separate"/>
                              </w:r>
                              <w:r w:rsidR="00E90111" w:rsidRPr="00E90111">
                                <w:rPr>
                                  <w:rStyle w:val="Nmerodepgina"/>
                                  <w:b/>
                                  <w:bCs/>
                                  <w:noProof/>
                                  <w:sz w:val="24"/>
                                  <w:szCs w:val="24"/>
                                  <w:lang w:val="es-ES"/>
                                </w:rPr>
                                <w:t>4</w:t>
                              </w:r>
                              <w:r w:rsidRPr="00926DAA">
                                <w:rPr>
                                  <w:rStyle w:val="Nmerodepgin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CA67217" id="Óvalo 20" o:spid="_x0000_s1026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rs+QEAANIDAAAOAAAAZHJzL2Uyb0RvYy54bWysU0Fu2zAQvBfoHwjea9lGXBeC5SBwkKJA&#10;2gZI+gCKoiSiFJdd0pbcb/RJ/ViXlOy4zS3ohViSy9md2eHmeugMOyj0GmzBF7M5Z8pKqLRtCv7t&#10;6e7dB858ELYSBqwq+FF5fr19+2bTu1wtoQVTKWQEYn3eu4K3Ibg8y7xsVSf8DJyydFkDdiLQFpus&#10;QtETemey5Xz+PusBK4cglfd0ejte8m3Cr2slw9e69iowU3DqLaQV01rGNdtuRN6gcK2WUxviFV10&#10;Qlsqeoa6FUGwPeoXUJ2WCB7qMJPQZVDXWqrEgdgs5v+weWyFU4kLiePdWSb//2Dll8MDMl0VfLVa&#10;cWZFR0P6/etA42LLJE/vfE5Zj+4BI0Hv7kF+98zCrhW2UTeI0LdKVNTUIsqZ/fUgbjw9ZWX/GSrC&#10;FvsASamhxi4CkgZsSAM5ngeihsAkHV6t1yvqgkm6muJYQeSnxw59+KigYzEouDJGOx8lE7k43Psw&#10;Zp+yUv9gdHWnjUmbaDO1M8iIcMHLZmRALC+zqJsJ6sQm2svnYSgHKhDDEqojkUQYDUYfgoIW8Cdn&#10;PZmr4P7HXqDizHyyJFR0YgquVuvID0+n5eWpsJIgCh44G8NdGJ27d6ibliosElMLNyRqrRPb526m&#10;UZBxkmSTyaMzL/cp6/krbv8AAAD//wMAUEsDBBQABgAIAAAAIQCjJe2u2QAAAAMBAAAPAAAAZHJz&#10;L2Rvd25yZXYueG1sTI9BT8MwDIXvSPsPkZG4sZSiDVSaTtMGBy6TGBNnr/HaaolTNdma/XsyOMDF&#10;T9az3vtcLqI14kyD7xwreJhmIIhrpztuFOw+3+6fQfiArNE4JgUX8rCoJjclFtqN/EHnbWhECmFf&#10;oII2hL6Q0tctWfRT1xMn7+AGiyGtQyP1gGMKt0bmWTaXFjtODS32tGqpPm5PVsFmmdfvu1c7Xx++&#10;xniMj5fRzFZK3d3G5QuIQDH8HcMVP6FDlZj27sTaC6MgPRJ+ZvKeZjmI/a/KqpT/2atvAAAA//8D&#10;AFBLAQItABQABgAIAAAAIQC2gziS/gAAAOEBAAATAAAAAAAAAAAAAAAAAAAAAABbQ29udGVudF9U&#10;eXBlc10ueG1sUEsBAi0AFAAGAAgAAAAhADj9If/WAAAAlAEAAAsAAAAAAAAAAAAAAAAALwEAAF9y&#10;ZWxzLy5yZWxzUEsBAi0AFAAGAAgAAAAhALvDCuz5AQAA0gMAAA4AAAAAAAAAAAAAAAAALgIAAGRy&#10;cy9lMm9Eb2MueG1sUEsBAi0AFAAGAAgAAAAhAKMl7a7ZAAAAAwEAAA8AAAAAAAAAAAAAAAAAUwQA&#10;AGRycy9kb3ducmV2LnhtbFBLBQYAAAAABAAEAPMAAABZBQAAAAA=&#10;" o:allowincell="f" fillcolor="white [3212]" stroked="f">
                  <v:textbox inset="0,,0">
                    <w:txbxContent>
                      <w:p w:rsidR="00926DAA" w:rsidRPr="00926DAA" w:rsidRDefault="00926DAA">
                        <w:pPr>
                          <w:rPr>
                            <w:rStyle w:val="Nmerodepgina"/>
                            <w:color w:val="000000" w:themeColor="text1"/>
                            <w:szCs w:val="24"/>
                          </w:rPr>
                        </w:pPr>
                        <w:r w:rsidRPr="00926DAA">
                          <w:fldChar w:fldCharType="begin"/>
                        </w:r>
                        <w:r w:rsidRPr="00926DAA">
                          <w:rPr>
                            <w:color w:val="000000" w:themeColor="text1"/>
                          </w:rPr>
                          <w:instrText>PAGE    \* MERGEFORMAT</w:instrText>
                        </w:r>
                        <w:r w:rsidRPr="00926DAA">
                          <w:fldChar w:fldCharType="separate"/>
                        </w:r>
                        <w:r w:rsidR="00E90111" w:rsidRPr="00E90111">
                          <w:rPr>
                            <w:rStyle w:val="Nmerodepgina"/>
                            <w:b/>
                            <w:bCs/>
                            <w:noProof/>
                            <w:sz w:val="24"/>
                            <w:szCs w:val="24"/>
                            <w:lang w:val="es-ES"/>
                          </w:rPr>
                          <w:t>4</w:t>
                        </w:r>
                        <w:r w:rsidRPr="00926DAA">
                          <w:rPr>
                            <w:rStyle w:val="Nmerodepgin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:rsidR="00C61F71" w:rsidRDefault="00C61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  <w:p w:rsidR="00C61F71" w:rsidRDefault="00C61F71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b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9" w:rsidRDefault="00A53B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B5C"/>
    <w:multiLevelType w:val="multilevel"/>
    <w:tmpl w:val="410CB4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11AF2"/>
    <w:multiLevelType w:val="multilevel"/>
    <w:tmpl w:val="EDFC95AE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180937"/>
    <w:multiLevelType w:val="multilevel"/>
    <w:tmpl w:val="5F38642E"/>
    <w:lvl w:ilvl="0">
      <w:start w:val="1"/>
      <w:numFmt w:val="bullet"/>
      <w:lvlText w:val="●"/>
      <w:lvlJc w:val="left"/>
      <w:pPr>
        <w:ind w:left="720" w:firstLine="360"/>
      </w:pPr>
      <w:rPr>
        <w:color w:val="00B05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A9B28A3"/>
    <w:multiLevelType w:val="multilevel"/>
    <w:tmpl w:val="5DA88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CF5AAD"/>
    <w:multiLevelType w:val="multilevel"/>
    <w:tmpl w:val="DE504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543D"/>
    <w:multiLevelType w:val="multilevel"/>
    <w:tmpl w:val="041E2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C319E1"/>
    <w:multiLevelType w:val="multilevel"/>
    <w:tmpl w:val="2AEAC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71"/>
    <w:rsid w:val="00021AE8"/>
    <w:rsid w:val="00041D77"/>
    <w:rsid w:val="00177FF1"/>
    <w:rsid w:val="001A0902"/>
    <w:rsid w:val="00266972"/>
    <w:rsid w:val="00492DE4"/>
    <w:rsid w:val="004D0A35"/>
    <w:rsid w:val="006260BE"/>
    <w:rsid w:val="006C0E77"/>
    <w:rsid w:val="00926DAA"/>
    <w:rsid w:val="00A53B79"/>
    <w:rsid w:val="00A95F9B"/>
    <w:rsid w:val="00AB1AC2"/>
    <w:rsid w:val="00AE15D4"/>
    <w:rsid w:val="00C3391F"/>
    <w:rsid w:val="00C61F71"/>
    <w:rsid w:val="00E75A02"/>
    <w:rsid w:val="00E90111"/>
    <w:rsid w:val="00F15009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A3AC3-19A3-4C21-932E-33BD938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a0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a1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41D7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41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D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D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6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DAA"/>
  </w:style>
  <w:style w:type="paragraph" w:styleId="Piedepgina">
    <w:name w:val="footer"/>
    <w:basedOn w:val="Normal"/>
    <w:link w:val="PiedepginaCar"/>
    <w:uiPriority w:val="99"/>
    <w:unhideWhenUsed/>
    <w:rsid w:val="00926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DAA"/>
  </w:style>
  <w:style w:type="character" w:styleId="Nmerodepgina">
    <w:name w:val="page number"/>
    <w:basedOn w:val="Fuentedeprrafopredeter"/>
    <w:uiPriority w:val="99"/>
    <w:unhideWhenUsed/>
    <w:rsid w:val="00926DAA"/>
  </w:style>
  <w:style w:type="paragraph" w:styleId="NormalWeb">
    <w:name w:val="Normal (Web)"/>
    <w:basedOn w:val="Normal"/>
    <w:uiPriority w:val="99"/>
    <w:semiHidden/>
    <w:unhideWhenUsed/>
    <w:rsid w:val="00F150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1cdKfdj7xxsWW1RMnVCanRkV0k/view" TargetMode="External"/><Relationship Id="rId13" Type="http://schemas.openxmlformats.org/officeDocument/2006/relationships/hyperlink" Target="http://www.igualdadycalidadcba.gov.ar/SIPEC-CBA/Prioridades/fas_22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er.sociales@gmail.com" TargetMode="External"/><Relationship Id="rId12" Type="http://schemas.openxmlformats.org/officeDocument/2006/relationships/hyperlink" Target="https://drive.google.com/file/d/0B1cdKfdj7xxsTlItNDhjTDFfanc/vie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1cdKfdj7xxsdXNlaHZ6OXo3Q0U/vie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gualdadycalidadcba.gov.ar/SIPEC-CBA/Prioridades/fas%202%20final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gualdadycalidadcba.gov.ar/SIPEC-CBA/Prioridades/fas%201%20final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</dc:creator>
  <cp:lastModifiedBy>ivana castillo</cp:lastModifiedBy>
  <cp:revision>2</cp:revision>
  <dcterms:created xsi:type="dcterms:W3CDTF">2019-03-14T15:44:00Z</dcterms:created>
  <dcterms:modified xsi:type="dcterms:W3CDTF">2019-03-14T15:44:00Z</dcterms:modified>
</cp:coreProperties>
</file>