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b/>
          <w:b/>
          <w:sz w:val="32"/>
          <w:szCs w:val="32"/>
          <w:u w:val="single"/>
        </w:rPr>
      </w:pPr>
      <w:r>
        <w:rPr>
          <w:b/>
          <w:sz w:val="32"/>
          <w:szCs w:val="32"/>
          <w:u w:val="single"/>
        </w:rPr>
        <w:t xml:space="preserve">Apéndice I: </w:t>
      </w:r>
    </w:p>
    <w:p>
      <w:pPr>
        <w:pStyle w:val="Normal1"/>
        <w:jc w:val="center"/>
        <w:rPr>
          <w:b/>
          <w:b/>
          <w:sz w:val="32"/>
          <w:szCs w:val="32"/>
          <w:u w:val="single"/>
        </w:rPr>
      </w:pPr>
      <w:bookmarkStart w:id="0" w:name="_gjdgxs"/>
      <w:bookmarkEnd w:id="0"/>
      <w:r>
        <w:rPr>
          <w:b/>
          <w:sz w:val="32"/>
          <w:szCs w:val="32"/>
          <w:u w:val="single"/>
        </w:rPr>
        <w:t>Monitoreo de avance del Proyecto de Alfabetización – Feria Escolar de Ciencias</w:t>
      </w:r>
    </w:p>
    <w:p>
      <w:pPr>
        <w:pStyle w:val="Normal1"/>
        <w:jc w:val="both"/>
        <w:rPr>
          <w:sz w:val="24"/>
          <w:szCs w:val="24"/>
        </w:rPr>
      </w:pPr>
      <w:r>
        <w:rPr>
          <w:sz w:val="24"/>
          <w:szCs w:val="24"/>
        </w:rPr>
        <w:t>Supervisores y Directivos:</w:t>
      </w:r>
    </w:p>
    <w:p>
      <w:pPr>
        <w:pStyle w:val="Normal1"/>
        <w:jc w:val="both"/>
        <w:rPr>
          <w:sz w:val="24"/>
          <w:szCs w:val="24"/>
        </w:rPr>
      </w:pPr>
      <w:r>
        <w:rPr>
          <w:sz w:val="24"/>
          <w:szCs w:val="24"/>
        </w:rPr>
        <w:t xml:space="preserve">El Programa Formación Situada 2024 inició con el abordaje de la </w:t>
      </w:r>
      <w:r>
        <w:rPr>
          <w:smallCaps/>
          <w:sz w:val="24"/>
          <w:szCs w:val="24"/>
        </w:rPr>
        <w:t xml:space="preserve">Escuela Posible. </w:t>
      </w:r>
      <w:r>
        <w:rPr>
          <w:sz w:val="24"/>
          <w:szCs w:val="24"/>
        </w:rPr>
        <w:t xml:space="preserve">Cada institución, en este contexto, está construyendo su Plan Educativo Institucional (PEI). Ese trabajo, que es fruto de la reflexión, promueve respuestas colectivas entre la comunidad escolar y el Sistema que da sentidos y acompaña. </w:t>
      </w:r>
    </w:p>
    <w:p>
      <w:pPr>
        <w:pStyle w:val="Normal1"/>
        <w:jc w:val="both"/>
        <w:rPr>
          <w:sz w:val="24"/>
          <w:szCs w:val="24"/>
        </w:rPr>
      </w:pPr>
      <w:r>
        <w:rPr>
          <w:sz w:val="24"/>
          <w:szCs w:val="24"/>
        </w:rPr>
        <w:t>En ocasión de este segundo círculo ponemos en valor la realización de la 56° Feria de Ciencias, Tecnologías, Artes e Innovación 2024 “Alberto Maiztegui”, bajo el lema “</w:t>
      </w:r>
      <w:r>
        <w:rPr>
          <w:i/>
          <w:sz w:val="24"/>
          <w:szCs w:val="24"/>
        </w:rPr>
        <w:t>Una oportunidad para seguir haciendo y transformando Córdoba</w:t>
      </w:r>
      <w:r>
        <w:rPr>
          <w:sz w:val="24"/>
          <w:szCs w:val="24"/>
        </w:rPr>
        <w:t>”. Este evento, que en su instancia escolar se desarrollará el 2 de agosto del 2024 en todos los niveles y modalidades del Sistema Educativo Provincial, y contribuirá al desarrollo de las capacidades fundamentales de oralidad, lectura y escritura, y abordaje y resolución de situaciones problemáticas en el marco del Compromiso Alfabetizador Córdoba.</w:t>
      </w:r>
    </w:p>
    <w:p>
      <w:pPr>
        <w:pStyle w:val="Normal1"/>
        <w:jc w:val="both"/>
        <w:rPr>
          <w:sz w:val="24"/>
          <w:szCs w:val="24"/>
        </w:rPr>
      </w:pPr>
      <w:r>
        <w:rPr>
          <w:sz w:val="24"/>
          <w:szCs w:val="24"/>
        </w:rPr>
        <w:t>A los fines de fortalecer el abordaje de la alfabetización, el día de la feria escolar (2 de agosto) es una instancia institucional propicia para evaluar los logros y avances de nuestros estudiantes en el desarrollo de dichas capacidades.</w:t>
      </w:r>
    </w:p>
    <w:p>
      <w:pPr>
        <w:pStyle w:val="Normal1"/>
        <w:jc w:val="both"/>
        <w:rPr/>
      </w:pPr>
      <w:r>
        <w:rPr>
          <w:sz w:val="24"/>
          <w:szCs w:val="24"/>
        </w:rPr>
        <w:t xml:space="preserve">Para acompañar este proceso, recuperamos el </w:t>
      </w:r>
      <w:hyperlink r:id="rId2">
        <w:r>
          <w:rPr>
            <w:rStyle w:val="ListLabel1"/>
            <w:color w:val="1155CC"/>
            <w:sz w:val="24"/>
            <w:szCs w:val="24"/>
            <w:u w:val="single"/>
          </w:rPr>
          <w:t>documento</w:t>
        </w:r>
      </w:hyperlink>
      <w:r>
        <w:rPr>
          <w:sz w:val="24"/>
          <w:szCs w:val="24"/>
        </w:rPr>
        <w:t xml:space="preserve"> </w:t>
      </w:r>
      <w:r>
        <w:rPr>
          <w:i/>
          <w:sz w:val="24"/>
          <w:szCs w:val="24"/>
        </w:rPr>
        <w:t xml:space="preserve">Mejora en los aprendizajes de lengua, matemática y ciencias. Capacidades fundamentales </w:t>
      </w:r>
      <w:r>
        <w:rPr>
          <w:sz w:val="24"/>
          <w:szCs w:val="24"/>
        </w:rPr>
        <w:t>(Córdoba, 2017) en el que se sistematizan indicadoras de evaluación.</w:t>
      </w:r>
    </w:p>
    <w:p>
      <w:pPr>
        <w:pStyle w:val="Normal1"/>
        <w:jc w:val="both"/>
        <w:rPr>
          <w:sz w:val="24"/>
          <w:szCs w:val="24"/>
        </w:rPr>
      </w:pPr>
      <w:r>
        <w:rPr>
          <w:sz w:val="24"/>
          <w:szCs w:val="24"/>
        </w:rPr>
        <w:t>Invitamos a las instituciones a la construcción de rubricas y/o instrumentos de cotejo con los que cada docente —como parte del colectivo institucional—utilizara para valorar los logros y avances de los y las estudiantes en relación con el desarrollo de las capacidades fundamentales en el marco de los proyectos escolares. Pretendemos intensificar la vinculación entre la teoría y la practica en situaciones concretas, como será la Feria Escolar de Ciencias.</w:t>
      </w:r>
    </w:p>
    <w:p>
      <w:pPr>
        <w:pStyle w:val="Normal1"/>
        <w:jc w:val="both"/>
        <w:rPr>
          <w:sz w:val="24"/>
          <w:szCs w:val="24"/>
        </w:rPr>
      </w:pPr>
      <w:r>
        <w:rPr>
          <w:sz w:val="24"/>
          <w:szCs w:val="24"/>
        </w:rPr>
        <w:t>De esta manera, se multiplican las oportunidades para el desarrollo de las alfabetizaciones múltiples en línea con la revisión de conceptos centrales en torno al Proyecto de Mejora de cada institución, con énfasis en los aprendizajes y las trayectorias escolares continuas y completas según la propuesta de este programa de formación.</w:t>
      </w:r>
    </w:p>
    <w:p>
      <w:pPr>
        <w:pStyle w:val="Normal1"/>
        <w:jc w:val="both"/>
        <w:rPr>
          <w:sz w:val="24"/>
          <w:szCs w:val="24"/>
        </w:rPr>
      </w:pPr>
      <w:r>
        <w:rPr/>
        <mc:AlternateContent>
          <mc:Choice Requires="wps">
            <w:drawing>
              <wp:inline distT="0" distB="0" distL="0" distR="0">
                <wp:extent cx="5400675"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40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25.15pt;height:1.45pt;mso-position-horizontal:center;mso-position-vertical:top">
                <w10:wrap type="none"/>
                <v:fill o:detectmouseclick="t" type="solid" color2="#5f5f5f"/>
                <v:stroke color="#3465a4" joinstyle="round" endcap="flat"/>
              </v:rect>
            </w:pict>
          </mc:Fallback>
        </mc:AlternateContent>
      </w:r>
    </w:p>
    <w:p>
      <w:pPr>
        <w:pStyle w:val="Normal1"/>
        <w:jc w:val="both"/>
        <w:rPr>
          <w:sz w:val="20"/>
          <w:szCs w:val="20"/>
        </w:rPr>
      </w:pPr>
      <w:r>
        <w:rPr>
          <w:sz w:val="20"/>
          <w:szCs w:val="20"/>
        </w:rPr>
        <w:t xml:space="preserve">Córdoba. Ministerio de Educación. (2017). </w:t>
      </w:r>
      <w:r>
        <w:rPr>
          <w:i/>
          <w:sz w:val="20"/>
          <w:szCs w:val="20"/>
        </w:rPr>
        <w:t xml:space="preserve">Mejora en los aprendizajes de lengua, matemática y ciencias. Capacidades fundamentales. </w:t>
      </w:r>
      <w:r>
        <w:rPr>
          <w:sz w:val="20"/>
          <w:szCs w:val="20"/>
        </w:rPr>
        <w:t>Secretaría de Educación – Subsecretaría de Promoción de Igualdad y Calidad Educativa. Gobierno de la provincia de Córdoba. Disponible en https://www.igualdadycalidadcba.gov.ar/SIPEC-CBA/Prioridades/fas_22.pdf</w:t>
      </w:r>
    </w:p>
    <w:p>
      <w:pPr>
        <w:pStyle w:val="Normal1"/>
        <w:widowControl/>
        <w:bidi w:val="0"/>
        <w:spacing w:lineRule="auto" w:line="259" w:before="0" w:after="160"/>
        <w:jc w:val="left"/>
        <w:rPr/>
      </w:pPr>
      <w:r>
        <w:rPr/>
      </w:r>
    </w:p>
    <w:sectPr>
      <w:type w:val="nextPage"/>
      <w:pgSz w:w="11906" w:h="16838"/>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zh-CN" w:bidi="hi-IN"/>
      </w:rPr>
    </w:rPrDefault>
    <w:pPrDefault>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1">
    <w:name w:val="Heading 1"/>
    <w:basedOn w:val="Normal1"/>
    <w:next w:val="Normal1"/>
    <w:qFormat/>
    <w:pPr>
      <w:keepNext w:val="true"/>
      <w:keepLines/>
      <w:spacing w:lineRule="auto" w:line="240" w:before="480" w:after="120"/>
    </w:pPr>
    <w:rPr>
      <w:b/>
      <w:sz w:val="48"/>
      <w:szCs w:val="48"/>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itular">
    <w:name w:val="Title"/>
    <w:basedOn w:val="Normal1"/>
    <w:next w:val="Normal1"/>
    <w:qFormat/>
    <w:pPr>
      <w:keepNext w:val="true"/>
      <w:keepLines/>
      <w:spacing w:lineRule="auto" w:line="240"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client=internal-element-cse&amp;cx=002849981099694882367:v7m05ihst3w&amp;q=https://www.igualdadycalidadcba.gov.ar/SIPEC-CBA/Prioridades/fas_22.pdf&amp;sa=U&amp;ved=2ahUKEwjG3NLgwv6FAxVSBtsEHTz3CHIQFnoECAEQAQ&amp;usg=AOvVaw0iXsiIjjLLsr83s-ayChU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LibreOffice/6.3.1.2$Windows_X86_64 LibreOffice_project/b79626edf0065ac373bd1df5c28bd630b4424273</Application>
  <Pages>1</Pages>
  <Words>376</Words>
  <Characters>2219</Characters>
  <CharactersWithSpaces>2588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cp:revision>0</cp:revision>
  <dc:subject/>
  <dc:title/>
</cp:coreProperties>
</file>